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30" w:type="dxa"/>
          <w:right w:w="30" w:type="dxa"/>
        </w:tblCellMar>
        <w:tblLook w:val="0000" w:firstRow="0" w:lastRow="0" w:firstColumn="0" w:lastColumn="0" w:noHBand="0" w:noVBand="0"/>
      </w:tblPr>
      <w:tblGrid>
        <w:gridCol w:w="5454"/>
        <w:gridCol w:w="3467"/>
      </w:tblGrid>
      <w:tr w:rsidR="00906288" w14:paraId="5113A197" w14:textId="77777777" w:rsidTr="00906288">
        <w:trPr>
          <w:trHeight w:val="674"/>
        </w:trPr>
        <w:tc>
          <w:tcPr>
            <w:tcW w:w="8921" w:type="dxa"/>
            <w:gridSpan w:val="2"/>
            <w:tcBorders>
              <w:top w:val="nil"/>
              <w:left w:val="nil"/>
              <w:bottom w:val="nil"/>
              <w:right w:val="nil"/>
            </w:tcBorders>
          </w:tcPr>
          <w:p w14:paraId="6735E605" w14:textId="77777777" w:rsidR="00906288" w:rsidRDefault="0090628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Информация о результатах рассмотрения обращений граждан,</w:t>
            </w:r>
          </w:p>
          <w:p w14:paraId="19C64076" w14:textId="1AC58C8E" w:rsidR="00906288" w:rsidRDefault="0090628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организаций и общественных объединений за </w:t>
            </w:r>
            <w:bookmarkStart w:id="0" w:name="_GoBack"/>
            <w:bookmarkEnd w:id="0"/>
            <w:r w:rsidR="00F627B8">
              <w:rPr>
                <w:rFonts w:ascii="Times New Roman" w:hAnsi="Times New Roman" w:cs="Times New Roman"/>
                <w:b/>
                <w:bCs/>
                <w:color w:val="000000"/>
              </w:rPr>
              <w:t>2022г</w:t>
            </w:r>
          </w:p>
          <w:p w14:paraId="65A39EE5" w14:textId="77777777" w:rsidR="00906288" w:rsidRDefault="00906288">
            <w:pPr>
              <w:autoSpaceDE w:val="0"/>
              <w:autoSpaceDN w:val="0"/>
              <w:adjustRightInd w:val="0"/>
              <w:spacing w:after="0" w:line="240" w:lineRule="auto"/>
              <w:jc w:val="center"/>
              <w:rPr>
                <w:rFonts w:ascii="Times New Roman" w:hAnsi="Times New Roman" w:cs="Times New Roman"/>
                <w:b/>
                <w:bCs/>
                <w:color w:val="000000"/>
              </w:rPr>
            </w:pPr>
          </w:p>
        </w:tc>
      </w:tr>
      <w:tr w:rsidR="00906288" w14:paraId="0005BDFF" w14:textId="77777777" w:rsidTr="00906288">
        <w:trPr>
          <w:trHeight w:val="178"/>
        </w:trPr>
        <w:tc>
          <w:tcPr>
            <w:tcW w:w="8921" w:type="dxa"/>
            <w:gridSpan w:val="2"/>
            <w:tcBorders>
              <w:top w:val="single" w:sz="12" w:space="0" w:color="auto"/>
              <w:left w:val="single" w:sz="12" w:space="0" w:color="auto"/>
              <w:bottom w:val="single" w:sz="12" w:space="0" w:color="auto"/>
              <w:right w:val="single" w:sz="12" w:space="0" w:color="auto"/>
            </w:tcBorders>
          </w:tcPr>
          <w:p w14:paraId="792AF4FE" w14:textId="77777777" w:rsidR="00906288" w:rsidRDefault="0090628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 Общие сведения</w:t>
            </w:r>
          </w:p>
        </w:tc>
      </w:tr>
      <w:tr w:rsidR="00906288" w14:paraId="433FBD74" w14:textId="77777777" w:rsidTr="00906288">
        <w:trPr>
          <w:trHeight w:val="168"/>
        </w:trPr>
        <w:tc>
          <w:tcPr>
            <w:tcW w:w="5454" w:type="dxa"/>
            <w:tcBorders>
              <w:top w:val="single" w:sz="12" w:space="0" w:color="auto"/>
              <w:left w:val="single" w:sz="12" w:space="0" w:color="auto"/>
              <w:bottom w:val="nil"/>
              <w:right w:val="nil"/>
            </w:tcBorders>
            <w:shd w:val="solid" w:color="C0C0C0" w:fill="auto"/>
          </w:tcPr>
          <w:p w14:paraId="77568DB7"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w:t>
            </w:r>
          </w:p>
        </w:tc>
        <w:tc>
          <w:tcPr>
            <w:tcW w:w="3467" w:type="dxa"/>
            <w:tcBorders>
              <w:top w:val="single" w:sz="12" w:space="0" w:color="auto"/>
              <w:left w:val="single" w:sz="12" w:space="0" w:color="auto"/>
              <w:bottom w:val="nil"/>
              <w:right w:val="single" w:sz="12" w:space="0" w:color="auto"/>
            </w:tcBorders>
            <w:shd w:val="solid" w:color="C0C0C0" w:fill="auto"/>
          </w:tcPr>
          <w:p w14:paraId="4E879A85"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w:t>
            </w:r>
          </w:p>
        </w:tc>
      </w:tr>
      <w:tr w:rsidR="00906288" w14:paraId="4FF0E761" w14:textId="77777777" w:rsidTr="00906288">
        <w:trPr>
          <w:trHeight w:val="168"/>
        </w:trPr>
        <w:tc>
          <w:tcPr>
            <w:tcW w:w="5454" w:type="dxa"/>
            <w:tcBorders>
              <w:top w:val="nil"/>
              <w:left w:val="single" w:sz="12" w:space="0" w:color="auto"/>
              <w:bottom w:val="nil"/>
              <w:right w:val="nil"/>
            </w:tcBorders>
            <w:shd w:val="solid" w:color="C0C0C0" w:fill="auto"/>
          </w:tcPr>
          <w:p w14:paraId="7F53DC82"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67" w:type="dxa"/>
            <w:tcBorders>
              <w:top w:val="nil"/>
              <w:left w:val="single" w:sz="12" w:space="0" w:color="auto"/>
              <w:bottom w:val="nil"/>
              <w:right w:val="single" w:sz="12" w:space="0" w:color="auto"/>
            </w:tcBorders>
            <w:shd w:val="solid" w:color="C0C0C0" w:fill="auto"/>
          </w:tcPr>
          <w:p w14:paraId="4F3F7178"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06288" w14:paraId="45F20D27" w14:textId="77777777" w:rsidTr="00906288">
        <w:trPr>
          <w:trHeight w:val="178"/>
        </w:trPr>
        <w:tc>
          <w:tcPr>
            <w:tcW w:w="5454" w:type="dxa"/>
            <w:tcBorders>
              <w:top w:val="nil"/>
              <w:left w:val="single" w:sz="12" w:space="0" w:color="auto"/>
              <w:bottom w:val="single" w:sz="12" w:space="0" w:color="auto"/>
              <w:right w:val="nil"/>
            </w:tcBorders>
            <w:shd w:val="solid" w:color="C0C0C0" w:fill="auto"/>
          </w:tcPr>
          <w:p w14:paraId="67E94575"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67" w:type="dxa"/>
            <w:tcBorders>
              <w:top w:val="nil"/>
              <w:left w:val="single" w:sz="12" w:space="0" w:color="auto"/>
              <w:bottom w:val="single" w:sz="12" w:space="0" w:color="auto"/>
              <w:right w:val="single" w:sz="12" w:space="0" w:color="auto"/>
            </w:tcBorders>
            <w:shd w:val="solid" w:color="C0C0C0" w:fill="auto"/>
          </w:tcPr>
          <w:p w14:paraId="7B1A95CF"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06288" w14:paraId="61E4B336" w14:textId="77777777" w:rsidTr="00906288">
        <w:trPr>
          <w:trHeight w:val="1003"/>
        </w:trPr>
        <w:tc>
          <w:tcPr>
            <w:tcW w:w="5454" w:type="dxa"/>
            <w:tcBorders>
              <w:top w:val="nil"/>
              <w:left w:val="single" w:sz="6" w:space="0" w:color="auto"/>
              <w:bottom w:val="single" w:sz="6" w:space="0" w:color="auto"/>
              <w:right w:val="single" w:sz="6" w:space="0" w:color="auto"/>
            </w:tcBorders>
          </w:tcPr>
          <w:p w14:paraId="71EF5AD2"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обращений, поступивших в органы местного самоуправления в соответствии с Федеральным законом «О порядке рассмотрения обращений граждан Российской Федерации» (ОБЩЕЕ КОЛИЧЕСТВО)</w:t>
            </w:r>
          </w:p>
        </w:tc>
        <w:tc>
          <w:tcPr>
            <w:tcW w:w="3467" w:type="dxa"/>
            <w:tcBorders>
              <w:top w:val="single" w:sz="6" w:space="0" w:color="auto"/>
              <w:left w:val="single" w:sz="6" w:space="0" w:color="auto"/>
              <w:bottom w:val="single" w:sz="6" w:space="0" w:color="auto"/>
              <w:right w:val="single" w:sz="6" w:space="0" w:color="auto"/>
            </w:tcBorders>
            <w:shd w:val="solid" w:color="C0C0C0" w:fill="auto"/>
          </w:tcPr>
          <w:p w14:paraId="067C1956" w14:textId="77777777" w:rsidR="00906288" w:rsidRDefault="002B744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r>
      <w:tr w:rsidR="00906288" w14:paraId="5843AA78"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1DBBF696" w14:textId="77777777" w:rsidR="00906288" w:rsidRDefault="00906288">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в том числе:</w:t>
            </w:r>
          </w:p>
        </w:tc>
        <w:tc>
          <w:tcPr>
            <w:tcW w:w="3467" w:type="dxa"/>
            <w:tcBorders>
              <w:top w:val="single" w:sz="6" w:space="0" w:color="auto"/>
              <w:left w:val="single" w:sz="6" w:space="0" w:color="auto"/>
              <w:bottom w:val="single" w:sz="6" w:space="0" w:color="auto"/>
              <w:right w:val="single" w:sz="6" w:space="0" w:color="auto"/>
            </w:tcBorders>
          </w:tcPr>
          <w:p w14:paraId="4EEF9569" w14:textId="77777777" w:rsidR="00906288" w:rsidRDefault="00906288">
            <w:pPr>
              <w:autoSpaceDE w:val="0"/>
              <w:autoSpaceDN w:val="0"/>
              <w:adjustRightInd w:val="0"/>
              <w:spacing w:after="0" w:line="240" w:lineRule="auto"/>
              <w:jc w:val="center"/>
              <w:rPr>
                <w:rFonts w:ascii="Calibri" w:hAnsi="Calibri" w:cs="Calibri"/>
                <w:color w:val="000000"/>
              </w:rPr>
            </w:pPr>
          </w:p>
        </w:tc>
      </w:tr>
      <w:tr w:rsidR="00906288" w14:paraId="71605CA8"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36EFA8D1"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Повторные </w:t>
            </w:r>
          </w:p>
        </w:tc>
        <w:tc>
          <w:tcPr>
            <w:tcW w:w="3467" w:type="dxa"/>
            <w:tcBorders>
              <w:top w:val="single" w:sz="6" w:space="0" w:color="auto"/>
              <w:left w:val="single" w:sz="6" w:space="0" w:color="auto"/>
              <w:bottom w:val="single" w:sz="6" w:space="0" w:color="auto"/>
              <w:right w:val="single" w:sz="6" w:space="0" w:color="auto"/>
            </w:tcBorders>
          </w:tcPr>
          <w:p w14:paraId="232C30FF" w14:textId="77777777" w:rsidR="00906288" w:rsidRDefault="002B744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906288" w14:paraId="657F4D0F"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18CF97D0"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Коллективные </w:t>
            </w:r>
          </w:p>
        </w:tc>
        <w:tc>
          <w:tcPr>
            <w:tcW w:w="3467" w:type="dxa"/>
            <w:tcBorders>
              <w:top w:val="single" w:sz="6" w:space="0" w:color="auto"/>
              <w:left w:val="single" w:sz="6" w:space="0" w:color="auto"/>
              <w:bottom w:val="single" w:sz="6" w:space="0" w:color="auto"/>
              <w:right w:val="single" w:sz="6" w:space="0" w:color="auto"/>
            </w:tcBorders>
          </w:tcPr>
          <w:p w14:paraId="6EFFC6EC" w14:textId="77777777" w:rsidR="00906288" w:rsidRDefault="00F627B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906288" w14:paraId="29D2BE1D"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5FBC2611" w14:textId="77777777" w:rsidR="00906288" w:rsidRDefault="0090628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Pr>
                <w:rFonts w:ascii="Times New Roman" w:hAnsi="Times New Roman" w:cs="Times New Roman"/>
                <w:b/>
                <w:bCs/>
                <w:color w:val="000000"/>
                <w:sz w:val="14"/>
                <w:szCs w:val="14"/>
              </w:rPr>
              <w:t xml:space="preserve">       </w:t>
            </w:r>
            <w:r>
              <w:rPr>
                <w:rFonts w:ascii="Times New Roman" w:hAnsi="Times New Roman" w:cs="Times New Roman"/>
                <w:b/>
                <w:bCs/>
                <w:color w:val="000000"/>
                <w:sz w:val="20"/>
                <w:szCs w:val="20"/>
              </w:rPr>
              <w:t>Источники поступления</w:t>
            </w:r>
          </w:p>
        </w:tc>
        <w:tc>
          <w:tcPr>
            <w:tcW w:w="3467" w:type="dxa"/>
            <w:tcBorders>
              <w:top w:val="single" w:sz="6" w:space="0" w:color="auto"/>
              <w:left w:val="single" w:sz="6" w:space="0" w:color="auto"/>
              <w:bottom w:val="single" w:sz="6" w:space="0" w:color="auto"/>
              <w:right w:val="single" w:sz="6" w:space="0" w:color="auto"/>
            </w:tcBorders>
            <w:shd w:val="solid" w:color="C0C0C0" w:fill="auto"/>
          </w:tcPr>
          <w:p w14:paraId="500D5069" w14:textId="77777777" w:rsidR="00906288" w:rsidRPr="00906288" w:rsidRDefault="002B7443">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207</w:t>
            </w:r>
          </w:p>
        </w:tc>
      </w:tr>
      <w:tr w:rsidR="00906288" w14:paraId="7DA83ACF"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14D41C94"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Органы государственной власти</w:t>
            </w:r>
          </w:p>
        </w:tc>
        <w:tc>
          <w:tcPr>
            <w:tcW w:w="3467" w:type="dxa"/>
            <w:tcBorders>
              <w:top w:val="single" w:sz="6" w:space="0" w:color="auto"/>
              <w:left w:val="single" w:sz="6" w:space="0" w:color="auto"/>
              <w:bottom w:val="single" w:sz="6" w:space="0" w:color="auto"/>
              <w:right w:val="single" w:sz="6" w:space="0" w:color="auto"/>
            </w:tcBorders>
          </w:tcPr>
          <w:p w14:paraId="28591C87" w14:textId="77777777" w:rsidR="00906288" w:rsidRDefault="002B74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906288" w14:paraId="444A8F76"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39E51A40"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Заявители (физические лица)</w:t>
            </w:r>
          </w:p>
        </w:tc>
        <w:tc>
          <w:tcPr>
            <w:tcW w:w="3467" w:type="dxa"/>
            <w:tcBorders>
              <w:top w:val="single" w:sz="6" w:space="0" w:color="auto"/>
              <w:left w:val="single" w:sz="6" w:space="0" w:color="auto"/>
              <w:bottom w:val="single" w:sz="6" w:space="0" w:color="auto"/>
              <w:right w:val="single" w:sz="6" w:space="0" w:color="auto"/>
            </w:tcBorders>
          </w:tcPr>
          <w:p w14:paraId="252CD741" w14:textId="77777777" w:rsidR="00906288" w:rsidRDefault="002B7443" w:rsidP="0090628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r>
      <w:tr w:rsidR="00906288" w14:paraId="58532303" w14:textId="77777777" w:rsidTr="00906288">
        <w:trPr>
          <w:trHeight w:val="168"/>
        </w:trPr>
        <w:tc>
          <w:tcPr>
            <w:tcW w:w="8921" w:type="dxa"/>
            <w:gridSpan w:val="2"/>
            <w:tcBorders>
              <w:top w:val="single" w:sz="6" w:space="0" w:color="auto"/>
              <w:left w:val="single" w:sz="6" w:space="0" w:color="auto"/>
              <w:bottom w:val="single" w:sz="6" w:space="0" w:color="auto"/>
              <w:right w:val="single" w:sz="6" w:space="0" w:color="auto"/>
            </w:tcBorders>
          </w:tcPr>
          <w:p w14:paraId="7B6E7A34"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Заявители (юридические лица)</w:t>
            </w:r>
          </w:p>
        </w:tc>
      </w:tr>
      <w:tr w:rsidR="00906288" w14:paraId="7A6920DE"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08730954"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w:t>
            </w:r>
          </w:p>
        </w:tc>
        <w:tc>
          <w:tcPr>
            <w:tcW w:w="3467" w:type="dxa"/>
            <w:tcBorders>
              <w:top w:val="single" w:sz="6" w:space="0" w:color="auto"/>
              <w:left w:val="single" w:sz="6" w:space="0" w:color="auto"/>
              <w:bottom w:val="single" w:sz="6" w:space="0" w:color="auto"/>
              <w:right w:val="single" w:sz="6" w:space="0" w:color="auto"/>
            </w:tcBorders>
          </w:tcPr>
          <w:p w14:paraId="403989D2" w14:textId="77777777" w:rsidR="00906288" w:rsidRDefault="00906288">
            <w:pPr>
              <w:autoSpaceDE w:val="0"/>
              <w:autoSpaceDN w:val="0"/>
              <w:adjustRightInd w:val="0"/>
              <w:spacing w:after="0" w:line="240" w:lineRule="auto"/>
              <w:jc w:val="center"/>
              <w:rPr>
                <w:rFonts w:ascii="Calibri" w:hAnsi="Calibri" w:cs="Calibri"/>
                <w:color w:val="000000"/>
              </w:rPr>
            </w:pPr>
          </w:p>
        </w:tc>
      </w:tr>
      <w:tr w:rsidR="00906288" w14:paraId="1D40319B"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2E1ECDD9" w14:textId="77777777" w:rsidR="00906288" w:rsidRDefault="0090628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Pr>
                <w:rFonts w:ascii="Times New Roman" w:hAnsi="Times New Roman" w:cs="Times New Roman"/>
                <w:b/>
                <w:bCs/>
                <w:color w:val="000000"/>
                <w:sz w:val="14"/>
                <w:szCs w:val="14"/>
              </w:rPr>
              <w:t xml:space="preserve">       </w:t>
            </w:r>
            <w:r>
              <w:rPr>
                <w:rFonts w:ascii="Times New Roman" w:hAnsi="Times New Roman" w:cs="Times New Roman"/>
                <w:b/>
                <w:bCs/>
                <w:color w:val="000000"/>
                <w:sz w:val="20"/>
                <w:szCs w:val="20"/>
              </w:rPr>
              <w:t>Виды обращений</w:t>
            </w:r>
          </w:p>
        </w:tc>
        <w:tc>
          <w:tcPr>
            <w:tcW w:w="3467" w:type="dxa"/>
            <w:tcBorders>
              <w:top w:val="single" w:sz="6" w:space="0" w:color="auto"/>
              <w:left w:val="single" w:sz="6" w:space="0" w:color="auto"/>
              <w:bottom w:val="single" w:sz="6" w:space="0" w:color="auto"/>
              <w:right w:val="single" w:sz="6" w:space="0" w:color="auto"/>
            </w:tcBorders>
            <w:shd w:val="solid" w:color="C0C0C0" w:fill="auto"/>
          </w:tcPr>
          <w:p w14:paraId="6ECBD891" w14:textId="77777777" w:rsidR="00906288" w:rsidRPr="00906288" w:rsidRDefault="002B7443">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207</w:t>
            </w:r>
          </w:p>
        </w:tc>
      </w:tr>
      <w:tr w:rsidR="00906288" w14:paraId="301C8255"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42BBD5C2"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Заявление</w:t>
            </w:r>
          </w:p>
        </w:tc>
        <w:tc>
          <w:tcPr>
            <w:tcW w:w="3467" w:type="dxa"/>
            <w:tcBorders>
              <w:top w:val="single" w:sz="6" w:space="0" w:color="auto"/>
              <w:left w:val="single" w:sz="6" w:space="0" w:color="auto"/>
              <w:bottom w:val="single" w:sz="6" w:space="0" w:color="auto"/>
              <w:right w:val="single" w:sz="6" w:space="0" w:color="auto"/>
            </w:tcBorders>
          </w:tcPr>
          <w:p w14:paraId="3B045422" w14:textId="77777777" w:rsidR="00906288" w:rsidRDefault="002B74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w:t>
            </w:r>
          </w:p>
        </w:tc>
      </w:tr>
      <w:tr w:rsidR="00906288" w14:paraId="4FBF9368"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50C0B285"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Предложение</w:t>
            </w:r>
          </w:p>
        </w:tc>
        <w:tc>
          <w:tcPr>
            <w:tcW w:w="3467" w:type="dxa"/>
            <w:tcBorders>
              <w:top w:val="single" w:sz="6" w:space="0" w:color="auto"/>
              <w:left w:val="single" w:sz="6" w:space="0" w:color="auto"/>
              <w:bottom w:val="single" w:sz="6" w:space="0" w:color="auto"/>
              <w:right w:val="single" w:sz="6" w:space="0" w:color="auto"/>
            </w:tcBorders>
          </w:tcPr>
          <w:p w14:paraId="0B8D88A3" w14:textId="77777777" w:rsidR="00906288" w:rsidRDefault="002B74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906288" w14:paraId="5538FC0D"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0386CD7C"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Жалоба</w:t>
            </w:r>
          </w:p>
        </w:tc>
        <w:tc>
          <w:tcPr>
            <w:tcW w:w="3467" w:type="dxa"/>
            <w:tcBorders>
              <w:top w:val="single" w:sz="6" w:space="0" w:color="auto"/>
              <w:left w:val="single" w:sz="6" w:space="0" w:color="auto"/>
              <w:bottom w:val="single" w:sz="6" w:space="0" w:color="auto"/>
              <w:right w:val="single" w:sz="6" w:space="0" w:color="auto"/>
            </w:tcBorders>
          </w:tcPr>
          <w:p w14:paraId="6585B336" w14:textId="77777777" w:rsidR="00906288" w:rsidRDefault="002B74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906288" w14:paraId="6523879E"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062A6BF9"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Иное</w:t>
            </w:r>
          </w:p>
        </w:tc>
        <w:tc>
          <w:tcPr>
            <w:tcW w:w="3467" w:type="dxa"/>
            <w:tcBorders>
              <w:top w:val="single" w:sz="6" w:space="0" w:color="auto"/>
              <w:left w:val="single" w:sz="6" w:space="0" w:color="auto"/>
              <w:bottom w:val="single" w:sz="6" w:space="0" w:color="auto"/>
              <w:right w:val="single" w:sz="6" w:space="0" w:color="auto"/>
            </w:tcBorders>
          </w:tcPr>
          <w:p w14:paraId="247CDC7E" w14:textId="77777777" w:rsidR="00906288" w:rsidRDefault="00906288">
            <w:pPr>
              <w:autoSpaceDE w:val="0"/>
              <w:autoSpaceDN w:val="0"/>
              <w:adjustRightInd w:val="0"/>
              <w:spacing w:after="0" w:line="240" w:lineRule="auto"/>
              <w:jc w:val="center"/>
              <w:rPr>
                <w:rFonts w:ascii="Times New Roman" w:hAnsi="Times New Roman" w:cs="Times New Roman"/>
                <w:color w:val="000000"/>
                <w:sz w:val="20"/>
                <w:szCs w:val="20"/>
              </w:rPr>
            </w:pPr>
          </w:p>
        </w:tc>
      </w:tr>
      <w:tr w:rsidR="00906288" w14:paraId="2CEF6316"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1F169AEE" w14:textId="77777777" w:rsidR="00906288" w:rsidRDefault="0090628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Pr>
                <w:rFonts w:ascii="Times New Roman" w:hAnsi="Times New Roman" w:cs="Times New Roman"/>
                <w:b/>
                <w:bCs/>
                <w:color w:val="000000"/>
                <w:sz w:val="14"/>
                <w:szCs w:val="14"/>
              </w:rPr>
              <w:t xml:space="preserve">       </w:t>
            </w:r>
            <w:r>
              <w:rPr>
                <w:rFonts w:ascii="Times New Roman" w:hAnsi="Times New Roman" w:cs="Times New Roman"/>
                <w:b/>
                <w:bCs/>
                <w:color w:val="000000"/>
                <w:sz w:val="20"/>
                <w:szCs w:val="20"/>
              </w:rPr>
              <w:t>Результаты рассмотрения</w:t>
            </w:r>
          </w:p>
        </w:tc>
        <w:tc>
          <w:tcPr>
            <w:tcW w:w="3467" w:type="dxa"/>
            <w:tcBorders>
              <w:top w:val="single" w:sz="6" w:space="0" w:color="auto"/>
              <w:left w:val="single" w:sz="6" w:space="0" w:color="auto"/>
              <w:bottom w:val="single" w:sz="6" w:space="0" w:color="auto"/>
              <w:right w:val="single" w:sz="6" w:space="0" w:color="auto"/>
            </w:tcBorders>
            <w:shd w:val="solid" w:color="C0C0C0" w:fill="auto"/>
          </w:tcPr>
          <w:p w14:paraId="414270D5" w14:textId="77777777" w:rsidR="00906288" w:rsidRPr="00906288" w:rsidRDefault="0094682A">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207</w:t>
            </w:r>
          </w:p>
        </w:tc>
      </w:tr>
      <w:tr w:rsidR="00906288" w14:paraId="697274B2"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76B9164F"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«Разъяснено»</w:t>
            </w:r>
          </w:p>
        </w:tc>
        <w:tc>
          <w:tcPr>
            <w:tcW w:w="3467" w:type="dxa"/>
            <w:tcBorders>
              <w:top w:val="single" w:sz="6" w:space="0" w:color="auto"/>
              <w:left w:val="single" w:sz="6" w:space="0" w:color="auto"/>
              <w:bottom w:val="single" w:sz="6" w:space="0" w:color="auto"/>
              <w:right w:val="single" w:sz="6" w:space="0" w:color="auto"/>
            </w:tcBorders>
          </w:tcPr>
          <w:p w14:paraId="3599D44E"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59</w:t>
            </w:r>
          </w:p>
        </w:tc>
      </w:tr>
      <w:tr w:rsidR="00906288" w14:paraId="4E39A58A"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66F3D1FD"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«Поддержано»</w:t>
            </w:r>
          </w:p>
        </w:tc>
        <w:tc>
          <w:tcPr>
            <w:tcW w:w="3467" w:type="dxa"/>
            <w:tcBorders>
              <w:top w:val="single" w:sz="6" w:space="0" w:color="auto"/>
              <w:left w:val="single" w:sz="6" w:space="0" w:color="auto"/>
              <w:bottom w:val="single" w:sz="6" w:space="0" w:color="auto"/>
              <w:right w:val="single" w:sz="6" w:space="0" w:color="auto"/>
            </w:tcBorders>
          </w:tcPr>
          <w:p w14:paraId="32CBC462"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144</w:t>
            </w:r>
          </w:p>
        </w:tc>
      </w:tr>
      <w:tr w:rsidR="00906288" w14:paraId="4D594620"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149072FB"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 «меры приняты»</w:t>
            </w:r>
          </w:p>
        </w:tc>
        <w:tc>
          <w:tcPr>
            <w:tcW w:w="3467" w:type="dxa"/>
            <w:tcBorders>
              <w:top w:val="single" w:sz="6" w:space="0" w:color="auto"/>
              <w:left w:val="single" w:sz="6" w:space="0" w:color="auto"/>
              <w:bottom w:val="single" w:sz="6" w:space="0" w:color="auto"/>
              <w:right w:val="single" w:sz="6" w:space="0" w:color="auto"/>
            </w:tcBorders>
          </w:tcPr>
          <w:p w14:paraId="0497C47B"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906288" w14:paraId="523BE715"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74E4103D"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 поддержано»</w:t>
            </w:r>
          </w:p>
        </w:tc>
        <w:tc>
          <w:tcPr>
            <w:tcW w:w="3467" w:type="dxa"/>
            <w:tcBorders>
              <w:top w:val="single" w:sz="6" w:space="0" w:color="auto"/>
              <w:left w:val="single" w:sz="6" w:space="0" w:color="auto"/>
              <w:bottom w:val="single" w:sz="6" w:space="0" w:color="auto"/>
              <w:right w:val="single" w:sz="6" w:space="0" w:color="auto"/>
            </w:tcBorders>
          </w:tcPr>
          <w:p w14:paraId="6C4FF376" w14:textId="77777777" w:rsidR="00906288" w:rsidRDefault="00906288">
            <w:pPr>
              <w:autoSpaceDE w:val="0"/>
              <w:autoSpaceDN w:val="0"/>
              <w:adjustRightInd w:val="0"/>
              <w:spacing w:after="0" w:line="240" w:lineRule="auto"/>
              <w:jc w:val="center"/>
              <w:rPr>
                <w:rFonts w:ascii="Calibri" w:hAnsi="Calibri" w:cs="Calibri"/>
                <w:color w:val="000000"/>
              </w:rPr>
            </w:pPr>
          </w:p>
        </w:tc>
      </w:tr>
      <w:tr w:rsidR="00906288" w14:paraId="4D14DB4A" w14:textId="77777777" w:rsidTr="00906288">
        <w:trPr>
          <w:trHeight w:val="286"/>
        </w:trPr>
        <w:tc>
          <w:tcPr>
            <w:tcW w:w="5454" w:type="dxa"/>
            <w:tcBorders>
              <w:top w:val="single" w:sz="6" w:space="0" w:color="auto"/>
              <w:left w:val="single" w:sz="6" w:space="0" w:color="auto"/>
              <w:bottom w:val="single" w:sz="6" w:space="0" w:color="auto"/>
              <w:right w:val="single" w:sz="6" w:space="0" w:color="auto"/>
            </w:tcBorders>
          </w:tcPr>
          <w:p w14:paraId="5F1CFC26" w14:textId="77777777" w:rsidR="00906288" w:rsidRDefault="0090628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r>
              <w:rPr>
                <w:rFonts w:ascii="Times New Roman" w:hAnsi="Times New Roman" w:cs="Times New Roman"/>
                <w:b/>
                <w:bCs/>
                <w:color w:val="000000"/>
                <w:sz w:val="14"/>
                <w:szCs w:val="14"/>
              </w:rPr>
              <w:t xml:space="preserve">       </w:t>
            </w:r>
            <w:r>
              <w:rPr>
                <w:rFonts w:ascii="Times New Roman" w:hAnsi="Times New Roman" w:cs="Times New Roman"/>
                <w:b/>
                <w:bCs/>
                <w:color w:val="000000"/>
                <w:sz w:val="20"/>
                <w:szCs w:val="20"/>
              </w:rPr>
              <w:t>Распределение обращений по вопросам местного значения</w:t>
            </w:r>
          </w:p>
        </w:tc>
        <w:tc>
          <w:tcPr>
            <w:tcW w:w="3467" w:type="dxa"/>
            <w:tcBorders>
              <w:top w:val="single" w:sz="6" w:space="0" w:color="auto"/>
              <w:left w:val="single" w:sz="6" w:space="0" w:color="auto"/>
              <w:bottom w:val="single" w:sz="6" w:space="0" w:color="auto"/>
              <w:right w:val="single" w:sz="6" w:space="0" w:color="auto"/>
            </w:tcBorders>
            <w:shd w:val="solid" w:color="C0C0C0" w:fill="auto"/>
          </w:tcPr>
          <w:p w14:paraId="760230BE" w14:textId="77777777" w:rsidR="00906288" w:rsidRPr="00906288" w:rsidRDefault="0094682A">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207</w:t>
            </w:r>
          </w:p>
        </w:tc>
      </w:tr>
      <w:tr w:rsidR="00906288" w14:paraId="296D3DE9"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342D7FDF"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Опека и попечительство</w:t>
            </w:r>
          </w:p>
        </w:tc>
        <w:tc>
          <w:tcPr>
            <w:tcW w:w="3467" w:type="dxa"/>
            <w:tcBorders>
              <w:top w:val="single" w:sz="6" w:space="0" w:color="auto"/>
              <w:left w:val="single" w:sz="6" w:space="0" w:color="auto"/>
              <w:bottom w:val="single" w:sz="6" w:space="0" w:color="auto"/>
              <w:right w:val="single" w:sz="6" w:space="0" w:color="auto"/>
            </w:tcBorders>
          </w:tcPr>
          <w:p w14:paraId="508F6D9F"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132</w:t>
            </w:r>
          </w:p>
        </w:tc>
      </w:tr>
      <w:tr w:rsidR="00906288" w14:paraId="6ED19516"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5EECE29E"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4.2. Благоустройство территории</w:t>
            </w:r>
          </w:p>
        </w:tc>
        <w:tc>
          <w:tcPr>
            <w:tcW w:w="3467" w:type="dxa"/>
            <w:tcBorders>
              <w:top w:val="single" w:sz="6" w:space="0" w:color="auto"/>
              <w:left w:val="single" w:sz="6" w:space="0" w:color="auto"/>
              <w:bottom w:val="single" w:sz="6" w:space="0" w:color="auto"/>
              <w:right w:val="single" w:sz="6" w:space="0" w:color="auto"/>
            </w:tcBorders>
          </w:tcPr>
          <w:p w14:paraId="40BEB279"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r>
      <w:tr w:rsidR="00906288" w14:paraId="2179DB51" w14:textId="77777777" w:rsidTr="0094682A">
        <w:trPr>
          <w:trHeight w:val="518"/>
        </w:trPr>
        <w:tc>
          <w:tcPr>
            <w:tcW w:w="5454" w:type="dxa"/>
            <w:tcBorders>
              <w:top w:val="single" w:sz="6" w:space="0" w:color="auto"/>
              <w:left w:val="single" w:sz="6" w:space="0" w:color="auto"/>
              <w:bottom w:val="single" w:sz="6" w:space="0" w:color="auto"/>
              <w:right w:val="single" w:sz="6" w:space="0" w:color="auto"/>
            </w:tcBorders>
          </w:tcPr>
          <w:p w14:paraId="7951519E"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4.3. Иные вопросы деятельности органа местного самоуправления</w:t>
            </w:r>
          </w:p>
        </w:tc>
        <w:tc>
          <w:tcPr>
            <w:tcW w:w="3467" w:type="dxa"/>
            <w:tcBorders>
              <w:top w:val="single" w:sz="6" w:space="0" w:color="auto"/>
              <w:left w:val="single" w:sz="6" w:space="0" w:color="auto"/>
              <w:bottom w:val="single" w:sz="6" w:space="0" w:color="auto"/>
              <w:right w:val="single" w:sz="6" w:space="0" w:color="auto"/>
            </w:tcBorders>
          </w:tcPr>
          <w:p w14:paraId="3FB51881" w14:textId="77777777" w:rsidR="00906288" w:rsidRDefault="00F627B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r>
      <w:tr w:rsidR="00906288" w14:paraId="5AD7BE4B" w14:textId="77777777" w:rsidTr="00906288">
        <w:trPr>
          <w:trHeight w:val="168"/>
        </w:trPr>
        <w:tc>
          <w:tcPr>
            <w:tcW w:w="5454" w:type="dxa"/>
            <w:tcBorders>
              <w:top w:val="single" w:sz="6" w:space="0" w:color="auto"/>
              <w:left w:val="single" w:sz="6" w:space="0" w:color="auto"/>
              <w:bottom w:val="single" w:sz="6" w:space="0" w:color="auto"/>
              <w:right w:val="single" w:sz="6" w:space="0" w:color="auto"/>
            </w:tcBorders>
          </w:tcPr>
          <w:p w14:paraId="5ADF6CB8"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4.4. Иные (не относятся к ВМЗ)</w:t>
            </w:r>
          </w:p>
        </w:tc>
        <w:tc>
          <w:tcPr>
            <w:tcW w:w="3467" w:type="dxa"/>
            <w:tcBorders>
              <w:top w:val="single" w:sz="6" w:space="0" w:color="auto"/>
              <w:left w:val="single" w:sz="6" w:space="0" w:color="auto"/>
              <w:bottom w:val="single" w:sz="6" w:space="0" w:color="auto"/>
              <w:right w:val="single" w:sz="6" w:space="0" w:color="auto"/>
            </w:tcBorders>
          </w:tcPr>
          <w:p w14:paraId="485AB4D2"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w:t>
            </w:r>
          </w:p>
        </w:tc>
      </w:tr>
      <w:tr w:rsidR="00906288" w14:paraId="6642FFDD" w14:textId="77777777" w:rsidTr="00906288">
        <w:trPr>
          <w:trHeight w:val="178"/>
        </w:trPr>
        <w:tc>
          <w:tcPr>
            <w:tcW w:w="8921" w:type="dxa"/>
            <w:gridSpan w:val="2"/>
            <w:tcBorders>
              <w:top w:val="single" w:sz="12" w:space="0" w:color="auto"/>
              <w:left w:val="single" w:sz="12" w:space="0" w:color="auto"/>
              <w:bottom w:val="single" w:sz="12" w:space="0" w:color="auto"/>
              <w:right w:val="nil"/>
            </w:tcBorders>
          </w:tcPr>
          <w:p w14:paraId="21AC3391" w14:textId="77777777" w:rsidR="00906288" w:rsidRDefault="0090628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 Личные приемы граждан</w:t>
            </w:r>
          </w:p>
        </w:tc>
      </w:tr>
      <w:tr w:rsidR="00906288" w14:paraId="5FC84A5B" w14:textId="77777777" w:rsidTr="00906288">
        <w:trPr>
          <w:trHeight w:val="293"/>
        </w:trPr>
        <w:tc>
          <w:tcPr>
            <w:tcW w:w="5454" w:type="dxa"/>
            <w:tcBorders>
              <w:top w:val="single" w:sz="12" w:space="0" w:color="auto"/>
              <w:left w:val="single" w:sz="12" w:space="0" w:color="auto"/>
              <w:bottom w:val="single" w:sz="12" w:space="0" w:color="auto"/>
              <w:right w:val="single" w:sz="12" w:space="0" w:color="auto"/>
            </w:tcBorders>
            <w:shd w:val="solid" w:color="C0C0C0" w:fill="auto"/>
          </w:tcPr>
          <w:p w14:paraId="335EB859"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 личных приемов, проведенных депутатами МС</w:t>
            </w:r>
          </w:p>
        </w:tc>
        <w:tc>
          <w:tcPr>
            <w:tcW w:w="3467" w:type="dxa"/>
            <w:tcBorders>
              <w:top w:val="single" w:sz="12" w:space="0" w:color="auto"/>
              <w:left w:val="nil"/>
              <w:bottom w:val="single" w:sz="12" w:space="0" w:color="auto"/>
              <w:right w:val="single" w:sz="12" w:space="0" w:color="auto"/>
            </w:tcBorders>
            <w:shd w:val="solid" w:color="C0C0C0" w:fill="auto"/>
          </w:tcPr>
          <w:p w14:paraId="53D2F9DC"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 принятых граждан</w:t>
            </w:r>
          </w:p>
        </w:tc>
      </w:tr>
      <w:tr w:rsidR="00906288" w14:paraId="4166FF24" w14:textId="77777777" w:rsidTr="00906288">
        <w:trPr>
          <w:trHeight w:val="168"/>
        </w:trPr>
        <w:tc>
          <w:tcPr>
            <w:tcW w:w="5454" w:type="dxa"/>
            <w:tcBorders>
              <w:top w:val="nil"/>
              <w:left w:val="single" w:sz="6" w:space="0" w:color="auto"/>
              <w:bottom w:val="single" w:sz="6" w:space="0" w:color="auto"/>
              <w:right w:val="single" w:sz="6" w:space="0" w:color="auto"/>
            </w:tcBorders>
          </w:tcPr>
          <w:p w14:paraId="21D9724E" w14:textId="77777777" w:rsidR="00906288" w:rsidRDefault="0094682A" w:rsidP="00F627B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3467" w:type="dxa"/>
            <w:tcBorders>
              <w:top w:val="nil"/>
              <w:left w:val="single" w:sz="6" w:space="0" w:color="auto"/>
              <w:bottom w:val="single" w:sz="6" w:space="0" w:color="auto"/>
              <w:right w:val="single" w:sz="6" w:space="0" w:color="auto"/>
            </w:tcBorders>
          </w:tcPr>
          <w:p w14:paraId="2E02EDBC" w14:textId="77777777" w:rsidR="00906288" w:rsidRDefault="0094682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r>
      <w:tr w:rsidR="00906288" w14:paraId="4C73370A" w14:textId="77777777" w:rsidTr="00906288">
        <w:trPr>
          <w:trHeight w:val="682"/>
        </w:trPr>
        <w:tc>
          <w:tcPr>
            <w:tcW w:w="8921" w:type="dxa"/>
            <w:gridSpan w:val="2"/>
            <w:tcBorders>
              <w:top w:val="single" w:sz="12" w:space="0" w:color="auto"/>
              <w:left w:val="single" w:sz="12" w:space="0" w:color="auto"/>
              <w:bottom w:val="single" w:sz="12" w:space="0" w:color="auto"/>
              <w:right w:val="single" w:sz="12" w:space="0" w:color="auto"/>
            </w:tcBorders>
          </w:tcPr>
          <w:p w14:paraId="2756EA9C" w14:textId="77777777" w:rsidR="00906288" w:rsidRDefault="0090628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 Количество запросов (жалоб) граждан в рамках предоставления муниципальных услуг, а также сообщений через портал «Наш Санкт-Петербург»*</w:t>
            </w:r>
          </w:p>
        </w:tc>
      </w:tr>
      <w:tr w:rsidR="00906288" w14:paraId="6EE9E35B" w14:textId="77777777" w:rsidTr="00906288">
        <w:trPr>
          <w:trHeight w:val="168"/>
        </w:trPr>
        <w:tc>
          <w:tcPr>
            <w:tcW w:w="5454" w:type="dxa"/>
            <w:tcBorders>
              <w:top w:val="single" w:sz="12" w:space="0" w:color="auto"/>
              <w:left w:val="single" w:sz="12" w:space="0" w:color="auto"/>
              <w:bottom w:val="nil"/>
              <w:right w:val="nil"/>
            </w:tcBorders>
            <w:shd w:val="solid" w:color="C0C0C0" w:fill="auto"/>
          </w:tcPr>
          <w:p w14:paraId="7B1368B3"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w:t>
            </w:r>
          </w:p>
        </w:tc>
        <w:tc>
          <w:tcPr>
            <w:tcW w:w="3467" w:type="dxa"/>
            <w:tcBorders>
              <w:top w:val="single" w:sz="12" w:space="0" w:color="auto"/>
              <w:left w:val="single" w:sz="12" w:space="0" w:color="auto"/>
              <w:bottom w:val="nil"/>
              <w:right w:val="single" w:sz="12" w:space="0" w:color="auto"/>
            </w:tcBorders>
            <w:shd w:val="solid" w:color="C0C0C0" w:fill="auto"/>
          </w:tcPr>
          <w:p w14:paraId="32A494B6"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Количество</w:t>
            </w:r>
          </w:p>
        </w:tc>
      </w:tr>
      <w:tr w:rsidR="00906288" w14:paraId="7F685580" w14:textId="77777777" w:rsidTr="00906288">
        <w:trPr>
          <w:trHeight w:val="168"/>
        </w:trPr>
        <w:tc>
          <w:tcPr>
            <w:tcW w:w="5454" w:type="dxa"/>
            <w:tcBorders>
              <w:top w:val="nil"/>
              <w:left w:val="single" w:sz="12" w:space="0" w:color="auto"/>
              <w:bottom w:val="nil"/>
              <w:right w:val="nil"/>
            </w:tcBorders>
            <w:shd w:val="solid" w:color="C0C0C0" w:fill="auto"/>
          </w:tcPr>
          <w:p w14:paraId="1DC400B6" w14:textId="77777777" w:rsidR="00906288" w:rsidRDefault="00906288" w:rsidP="00906288">
            <w:pPr>
              <w:autoSpaceDE w:val="0"/>
              <w:autoSpaceDN w:val="0"/>
              <w:adjustRightInd w:val="0"/>
              <w:spacing w:after="0" w:line="240" w:lineRule="auto"/>
              <w:rPr>
                <w:rFonts w:ascii="Times New Roman" w:hAnsi="Times New Roman" w:cs="Times New Roman"/>
                <w:b/>
                <w:bCs/>
                <w:color w:val="000000"/>
                <w:sz w:val="20"/>
                <w:szCs w:val="20"/>
              </w:rPr>
            </w:pPr>
          </w:p>
        </w:tc>
        <w:tc>
          <w:tcPr>
            <w:tcW w:w="3467" w:type="dxa"/>
            <w:tcBorders>
              <w:top w:val="nil"/>
              <w:left w:val="single" w:sz="12" w:space="0" w:color="auto"/>
              <w:bottom w:val="nil"/>
              <w:right w:val="single" w:sz="12" w:space="0" w:color="auto"/>
            </w:tcBorders>
            <w:shd w:val="solid" w:color="C0C0C0" w:fill="auto"/>
          </w:tcPr>
          <w:p w14:paraId="035C1A44" w14:textId="77777777" w:rsidR="00906288" w:rsidRDefault="0090628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06288" w14:paraId="68C8E88B" w14:textId="77777777" w:rsidTr="00906288">
        <w:trPr>
          <w:trHeight w:val="77"/>
        </w:trPr>
        <w:tc>
          <w:tcPr>
            <w:tcW w:w="5454" w:type="dxa"/>
            <w:tcBorders>
              <w:top w:val="nil"/>
              <w:left w:val="single" w:sz="12" w:space="0" w:color="auto"/>
              <w:bottom w:val="single" w:sz="12" w:space="0" w:color="auto"/>
              <w:right w:val="nil"/>
            </w:tcBorders>
            <w:shd w:val="solid" w:color="C0C0C0" w:fill="auto"/>
          </w:tcPr>
          <w:p w14:paraId="60A5158C" w14:textId="77777777" w:rsidR="00906288" w:rsidRDefault="00906288" w:rsidP="00906288">
            <w:pPr>
              <w:autoSpaceDE w:val="0"/>
              <w:autoSpaceDN w:val="0"/>
              <w:adjustRightInd w:val="0"/>
              <w:spacing w:after="0" w:line="240" w:lineRule="auto"/>
              <w:rPr>
                <w:rFonts w:ascii="Times New Roman" w:hAnsi="Times New Roman" w:cs="Times New Roman"/>
                <w:b/>
                <w:bCs/>
                <w:color w:val="000000"/>
                <w:sz w:val="20"/>
                <w:szCs w:val="20"/>
              </w:rPr>
            </w:pPr>
          </w:p>
        </w:tc>
        <w:tc>
          <w:tcPr>
            <w:tcW w:w="3467" w:type="dxa"/>
            <w:tcBorders>
              <w:top w:val="nil"/>
              <w:left w:val="single" w:sz="12" w:space="0" w:color="auto"/>
              <w:bottom w:val="single" w:sz="12" w:space="0" w:color="auto"/>
              <w:right w:val="single" w:sz="12" w:space="0" w:color="auto"/>
            </w:tcBorders>
            <w:shd w:val="solid" w:color="C0C0C0" w:fill="auto"/>
          </w:tcPr>
          <w:p w14:paraId="3838740D" w14:textId="77777777" w:rsidR="00906288" w:rsidRDefault="00906288" w:rsidP="00906288">
            <w:pPr>
              <w:autoSpaceDE w:val="0"/>
              <w:autoSpaceDN w:val="0"/>
              <w:adjustRightInd w:val="0"/>
              <w:spacing w:after="0" w:line="240" w:lineRule="auto"/>
              <w:rPr>
                <w:rFonts w:ascii="Times New Roman" w:hAnsi="Times New Roman" w:cs="Times New Roman"/>
                <w:b/>
                <w:bCs/>
                <w:color w:val="000000"/>
                <w:sz w:val="20"/>
                <w:szCs w:val="20"/>
              </w:rPr>
            </w:pPr>
          </w:p>
        </w:tc>
      </w:tr>
      <w:tr w:rsidR="00906288" w14:paraId="03D4E8DF" w14:textId="77777777" w:rsidTr="00906288">
        <w:trPr>
          <w:trHeight w:val="1003"/>
        </w:trPr>
        <w:tc>
          <w:tcPr>
            <w:tcW w:w="5454" w:type="dxa"/>
            <w:tcBorders>
              <w:top w:val="nil"/>
              <w:left w:val="single" w:sz="6" w:space="0" w:color="auto"/>
              <w:bottom w:val="single" w:sz="6" w:space="0" w:color="auto"/>
              <w:right w:val="single" w:sz="6" w:space="0" w:color="auto"/>
            </w:tcBorders>
          </w:tcPr>
          <w:p w14:paraId="7E8E03D2"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заявлений и жалоб, поступивших в органы местного самоуправления в соответствии с Федеральным законом «Об организации предоставления государственных и муниципальных услуг»</w:t>
            </w:r>
          </w:p>
        </w:tc>
        <w:tc>
          <w:tcPr>
            <w:tcW w:w="3467" w:type="dxa"/>
            <w:tcBorders>
              <w:top w:val="nil"/>
              <w:left w:val="single" w:sz="6" w:space="0" w:color="auto"/>
              <w:bottom w:val="single" w:sz="6" w:space="0" w:color="auto"/>
              <w:right w:val="single" w:sz="6" w:space="0" w:color="auto"/>
            </w:tcBorders>
          </w:tcPr>
          <w:p w14:paraId="29357BA3"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85</w:t>
            </w:r>
          </w:p>
        </w:tc>
      </w:tr>
      <w:tr w:rsidR="00906288" w14:paraId="7AA3D62F" w14:textId="77777777" w:rsidTr="00906288">
        <w:trPr>
          <w:trHeight w:val="571"/>
        </w:trPr>
        <w:tc>
          <w:tcPr>
            <w:tcW w:w="5454" w:type="dxa"/>
            <w:tcBorders>
              <w:top w:val="nil"/>
              <w:left w:val="single" w:sz="6" w:space="0" w:color="auto"/>
              <w:bottom w:val="single" w:sz="6" w:space="0" w:color="auto"/>
              <w:right w:val="single" w:sz="6" w:space="0" w:color="auto"/>
            </w:tcBorders>
          </w:tcPr>
          <w:p w14:paraId="19F65F86" w14:textId="77777777" w:rsidR="00906288" w:rsidRDefault="0090628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сообщений, поступивших в органы местного самоуправления через портал «Наш Санкт-Петербург»</w:t>
            </w:r>
          </w:p>
        </w:tc>
        <w:tc>
          <w:tcPr>
            <w:tcW w:w="3467" w:type="dxa"/>
            <w:tcBorders>
              <w:top w:val="single" w:sz="6" w:space="0" w:color="auto"/>
              <w:left w:val="single" w:sz="6" w:space="0" w:color="auto"/>
              <w:bottom w:val="single" w:sz="6" w:space="0" w:color="auto"/>
              <w:right w:val="single" w:sz="6" w:space="0" w:color="auto"/>
            </w:tcBorders>
          </w:tcPr>
          <w:p w14:paraId="1BBB471D" w14:textId="77777777" w:rsidR="00906288" w:rsidRDefault="009468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92</w:t>
            </w:r>
          </w:p>
        </w:tc>
      </w:tr>
    </w:tbl>
    <w:p w14:paraId="7A5CC12E" w14:textId="77777777" w:rsidR="00DA2134" w:rsidRDefault="00DA2134" w:rsidP="00DA2134">
      <w:pPr>
        <w:rPr>
          <w:rFonts w:ascii="Times New Roman" w:hAnsi="Times New Roman" w:cs="Times New Roman"/>
        </w:rPr>
      </w:pPr>
    </w:p>
    <w:p w14:paraId="536C0882" w14:textId="77777777" w:rsidR="00DA2134" w:rsidRDefault="00DA2134" w:rsidP="00DA2134">
      <w:pPr>
        <w:rPr>
          <w:rFonts w:ascii="Times New Roman" w:hAnsi="Times New Roman" w:cs="Times New Roman"/>
        </w:rPr>
      </w:pPr>
    </w:p>
    <w:p w14:paraId="728F345F" w14:textId="77777777" w:rsidR="00DA2134" w:rsidRPr="00DA2134" w:rsidRDefault="00DA2134" w:rsidP="00DA2134">
      <w:pPr>
        <w:rPr>
          <w:rFonts w:ascii="Times New Roman" w:hAnsi="Times New Roman" w:cs="Times New Roman"/>
          <w:b/>
        </w:rPr>
      </w:pPr>
      <w:r w:rsidRPr="00DA2134">
        <w:rPr>
          <w:rFonts w:ascii="Times New Roman" w:hAnsi="Times New Roman" w:cs="Times New Roman"/>
          <w:b/>
        </w:rPr>
        <w:lastRenderedPageBreak/>
        <w:t>Аналитический обзор обращений за 2022 г.</w:t>
      </w:r>
    </w:p>
    <w:p w14:paraId="7AD915D9" w14:textId="77777777" w:rsidR="00DA2134" w:rsidRPr="00DA2134" w:rsidRDefault="00DA2134" w:rsidP="00DA2134">
      <w:pPr>
        <w:rPr>
          <w:rFonts w:ascii="Times New Roman" w:hAnsi="Times New Roman" w:cs="Times New Roman"/>
        </w:rPr>
      </w:pPr>
      <w:r w:rsidRPr="00DA2134">
        <w:rPr>
          <w:rFonts w:ascii="Times New Roman" w:hAnsi="Times New Roman" w:cs="Times New Roman"/>
        </w:rPr>
        <w:t xml:space="preserve">Часть обращений  за </w:t>
      </w:r>
      <w:r w:rsidRPr="00847C73">
        <w:rPr>
          <w:rFonts w:ascii="Times New Roman" w:hAnsi="Times New Roman" w:cs="Times New Roman"/>
          <w:b/>
        </w:rPr>
        <w:t xml:space="preserve">I квартал </w:t>
      </w:r>
      <w:r w:rsidRPr="00DA2134">
        <w:rPr>
          <w:rFonts w:ascii="Times New Roman" w:hAnsi="Times New Roman" w:cs="Times New Roman"/>
        </w:rPr>
        <w:t>относится к сфере благоустройства и восстановлению асфальтового покрытия после зимнего периода. Также есть повторные обращения заявителя по вопросу неоднократной просадки грунта вдоль трассы  горячего водоснабжения на ул. Мичуринская, д. 1. Со своей стороны Местная Администрация неоднократно восстанавливала асфальтовое покрытие поврежденное просадкой грунта, но т.к. не устранена причина провала, а именно, возможное повреждение инженерных сетей системы отопления и горячего водоснабжения, из-за которого происходит разрушение покрытия, считаем дальнейшее восстановление нецелесообразным использованием бюджетных средств. Заявителю рекомендовано обратиться в Жилкомс</w:t>
      </w:r>
      <w:r>
        <w:rPr>
          <w:rFonts w:ascii="Times New Roman" w:hAnsi="Times New Roman" w:cs="Times New Roman"/>
        </w:rPr>
        <w:t>ервис №1 Петроградского района.</w:t>
      </w:r>
    </w:p>
    <w:p w14:paraId="7528110D" w14:textId="77777777" w:rsidR="00DA2134" w:rsidRPr="00DA2134" w:rsidRDefault="00DA2134" w:rsidP="00DA2134">
      <w:pPr>
        <w:rPr>
          <w:rFonts w:ascii="Times New Roman" w:hAnsi="Times New Roman" w:cs="Times New Roman"/>
        </w:rPr>
      </w:pPr>
      <w:r w:rsidRPr="00DA2134">
        <w:rPr>
          <w:rFonts w:ascii="Times New Roman" w:hAnsi="Times New Roman" w:cs="Times New Roman"/>
        </w:rPr>
        <w:t xml:space="preserve">        Подавляющая часть обращений </w:t>
      </w:r>
      <w:r w:rsidRPr="00847C73">
        <w:rPr>
          <w:rFonts w:ascii="Times New Roman" w:hAnsi="Times New Roman" w:cs="Times New Roman"/>
          <w:b/>
        </w:rPr>
        <w:t xml:space="preserve">II квартала </w:t>
      </w:r>
      <w:r w:rsidRPr="00DA2134">
        <w:rPr>
          <w:rFonts w:ascii="Times New Roman" w:hAnsi="Times New Roman" w:cs="Times New Roman"/>
        </w:rPr>
        <w:t xml:space="preserve">не относится к полномочиям органов местного самоуправления и связана с начислением коммунальных платежей, обустройством пешеходных переходов и тротуаров. В частности поступили обращения </w:t>
      </w:r>
      <w:proofErr w:type="gramStart"/>
      <w:r w:rsidRPr="00DA2134">
        <w:rPr>
          <w:rFonts w:ascii="Times New Roman" w:hAnsi="Times New Roman" w:cs="Times New Roman"/>
        </w:rPr>
        <w:t>граждан  с</w:t>
      </w:r>
      <w:proofErr w:type="gramEnd"/>
      <w:r w:rsidRPr="00DA2134">
        <w:rPr>
          <w:rFonts w:ascii="Times New Roman" w:hAnsi="Times New Roman" w:cs="Times New Roman"/>
        </w:rPr>
        <w:t xml:space="preserve"> пожеланием  обустроить тротуаром придомовую территорию по адресу ул. Куйбышева, д.3, а также об устройстве пешеходного перехода в районе ул. Большая Монетная, д. 30 и Льва Толстого, д. 10 В свою очередь муниципальное образование рассматривает такие запросы и направляет по компетенции в соответствующие организации. Обращения, связанные с недочетами и пожеланиями в сфере благоустройства, удовлетворяются в рамках компетенции, либо берутся на контроль, либо включаются в план будущих адресных программ, либо разъясняется невозмо</w:t>
      </w:r>
      <w:r>
        <w:rPr>
          <w:rFonts w:ascii="Times New Roman" w:hAnsi="Times New Roman" w:cs="Times New Roman"/>
        </w:rPr>
        <w:t>жность осуществления пожеланий.</w:t>
      </w:r>
    </w:p>
    <w:p w14:paraId="1D231D3B" w14:textId="77777777" w:rsidR="0094682A" w:rsidRPr="0094682A" w:rsidRDefault="00DA2134" w:rsidP="0094682A">
      <w:pPr>
        <w:rPr>
          <w:rFonts w:ascii="Times New Roman" w:hAnsi="Times New Roman" w:cs="Times New Roman"/>
        </w:rPr>
      </w:pPr>
      <w:r w:rsidRPr="00DA2134">
        <w:rPr>
          <w:rFonts w:ascii="Times New Roman" w:hAnsi="Times New Roman" w:cs="Times New Roman"/>
        </w:rPr>
        <w:t xml:space="preserve">         Подавляющая часть обращений </w:t>
      </w:r>
      <w:r w:rsidRPr="00847C73">
        <w:rPr>
          <w:rFonts w:ascii="Times New Roman" w:hAnsi="Times New Roman" w:cs="Times New Roman"/>
          <w:b/>
        </w:rPr>
        <w:t>III квартала</w:t>
      </w:r>
      <w:r w:rsidRPr="00DA2134">
        <w:rPr>
          <w:rFonts w:ascii="Times New Roman" w:hAnsi="Times New Roman" w:cs="Times New Roman"/>
        </w:rPr>
        <w:t xml:space="preserve"> не относится к полномочиям органов местного самоуправления и связана с начислением коммунальных платежей и  капитальным ремонтом общедомового имущества, что не входит в полномочия ОМСУ.  Еще часть заявлений относится к кампании по мобилизации  и желанием гражданина поступить на альтернативную гражданскую службу, обращения заявителя направлены в </w:t>
      </w:r>
      <w:r>
        <w:rPr>
          <w:rFonts w:ascii="Times New Roman" w:hAnsi="Times New Roman" w:cs="Times New Roman"/>
        </w:rPr>
        <w:t>военкомат Петроградского района</w:t>
      </w:r>
      <w:r w:rsidR="0094682A">
        <w:rPr>
          <w:rFonts w:ascii="Times New Roman" w:hAnsi="Times New Roman" w:cs="Times New Roman"/>
        </w:rPr>
        <w:br/>
      </w:r>
      <w:r w:rsidR="0094682A">
        <w:rPr>
          <w:rFonts w:ascii="Times New Roman" w:hAnsi="Times New Roman" w:cs="Times New Roman"/>
        </w:rPr>
        <w:br/>
        <w:t xml:space="preserve">       О</w:t>
      </w:r>
      <w:r w:rsidR="0094682A" w:rsidRPr="0094682A">
        <w:rPr>
          <w:rFonts w:ascii="Times New Roman" w:hAnsi="Times New Roman" w:cs="Times New Roman"/>
        </w:rPr>
        <w:t>сновной повод обращений граждан</w:t>
      </w:r>
      <w:r w:rsidR="0094682A">
        <w:rPr>
          <w:rFonts w:ascii="Times New Roman" w:hAnsi="Times New Roman" w:cs="Times New Roman"/>
        </w:rPr>
        <w:t xml:space="preserve"> в </w:t>
      </w:r>
      <w:r w:rsidR="0094682A" w:rsidRPr="0094682A">
        <w:rPr>
          <w:rFonts w:ascii="Times New Roman" w:hAnsi="Times New Roman" w:cs="Times New Roman"/>
          <w:b/>
          <w:lang w:val="en-US"/>
        </w:rPr>
        <w:t>IV</w:t>
      </w:r>
      <w:r w:rsidR="0094682A" w:rsidRPr="0094682A">
        <w:rPr>
          <w:rFonts w:ascii="Times New Roman" w:hAnsi="Times New Roman" w:cs="Times New Roman"/>
          <w:b/>
        </w:rPr>
        <w:t xml:space="preserve"> квартале</w:t>
      </w:r>
      <w:r w:rsidR="0094682A" w:rsidRPr="0094682A">
        <w:rPr>
          <w:rFonts w:ascii="Times New Roman" w:hAnsi="Times New Roman" w:cs="Times New Roman"/>
        </w:rPr>
        <w:t xml:space="preserve">  связан с  текущей работой органов опеки и попечительства и плановой отработки сообщений, поступивших на портал « Наш Санкт-Петербург ».</w:t>
      </w:r>
    </w:p>
    <w:p w14:paraId="67251D80" w14:textId="77777777" w:rsidR="0094682A" w:rsidRPr="0094682A" w:rsidRDefault="0094682A" w:rsidP="0094682A">
      <w:pPr>
        <w:rPr>
          <w:rFonts w:ascii="Times New Roman" w:hAnsi="Times New Roman" w:cs="Times New Roman"/>
        </w:rPr>
      </w:pPr>
      <w:r w:rsidRPr="0094682A">
        <w:rPr>
          <w:rFonts w:ascii="Times New Roman" w:hAnsi="Times New Roman" w:cs="Times New Roman"/>
        </w:rPr>
        <w:t>4  обращения IV квартала связаны с начислением коммунальных платежей и капитальным ремонто</w:t>
      </w:r>
      <w:r>
        <w:rPr>
          <w:rFonts w:ascii="Times New Roman" w:hAnsi="Times New Roman" w:cs="Times New Roman"/>
        </w:rPr>
        <w:t xml:space="preserve">м общедомового имущества, что  </w:t>
      </w:r>
      <w:r w:rsidRPr="0094682A">
        <w:rPr>
          <w:rFonts w:ascii="Times New Roman" w:hAnsi="Times New Roman" w:cs="Times New Roman"/>
        </w:rPr>
        <w:t>не относится к полномочиям органов местного самоуправления о чем неоднократно сообщалось гражданину, но заявитель настойчиво включает в список рассылки ВМО МО Посадский.</w:t>
      </w:r>
    </w:p>
    <w:p w14:paraId="15E992C4" w14:textId="77777777" w:rsidR="0094682A" w:rsidRPr="0094682A" w:rsidRDefault="0094682A" w:rsidP="0094682A">
      <w:pPr>
        <w:rPr>
          <w:rFonts w:ascii="Times New Roman" w:hAnsi="Times New Roman" w:cs="Times New Roman"/>
        </w:rPr>
      </w:pPr>
      <w:r w:rsidRPr="0094682A">
        <w:rPr>
          <w:rFonts w:ascii="Times New Roman" w:hAnsi="Times New Roman" w:cs="Times New Roman"/>
        </w:rPr>
        <w:t>7 обращений связаны с проводимой РФ мобилизацией, пик которой пришелся на начало квартала. В основном граждан интересует прохождение АГС в рамках мобилизации, что также не относится к деятельности ОМСУ. Обращения перенаправлены по компетенции в военкомат по месту регистрации, по повторным обращениям даются разъяснения и рекомендации по дальнейшим действиям.</w:t>
      </w:r>
    </w:p>
    <w:p w14:paraId="3CB025D2" w14:textId="77777777" w:rsidR="00DA2134" w:rsidRPr="00DA2134" w:rsidRDefault="0094682A" w:rsidP="0094682A">
      <w:pPr>
        <w:rPr>
          <w:rFonts w:ascii="Times New Roman" w:hAnsi="Times New Roman" w:cs="Times New Roman"/>
        </w:rPr>
      </w:pPr>
      <w:r w:rsidRPr="0094682A">
        <w:rPr>
          <w:rFonts w:ascii="Times New Roman" w:hAnsi="Times New Roman" w:cs="Times New Roman"/>
        </w:rPr>
        <w:t xml:space="preserve">      Часть обращений связанны с благоустройством, в частности граждане выступают с инициативой создания искусственных неровностей, обновление асфальтового покрытия, перемещением скамеек. Со своей стороны ОМСУ по возможности поддерживают предложения </w:t>
      </w:r>
      <w:r>
        <w:rPr>
          <w:rFonts w:ascii="Times New Roman" w:hAnsi="Times New Roman" w:cs="Times New Roman"/>
        </w:rPr>
        <w:t>заявителей</w:t>
      </w:r>
      <w:r w:rsidRPr="0094682A">
        <w:rPr>
          <w:rFonts w:ascii="Times New Roman" w:hAnsi="Times New Roman" w:cs="Times New Roman"/>
        </w:rPr>
        <w:t xml:space="preserve"> и включает их в адресную программу.</w:t>
      </w:r>
    </w:p>
    <w:p w14:paraId="4CA7C11B" w14:textId="77777777" w:rsidR="00847C73" w:rsidRPr="00847C73" w:rsidRDefault="00847C73" w:rsidP="00847C73">
      <w:pPr>
        <w:spacing w:after="160" w:line="259" w:lineRule="auto"/>
        <w:rPr>
          <w:rFonts w:ascii="Times New Roman" w:eastAsia="Verdana" w:hAnsi="Times New Roman" w:cs="Times New Roman"/>
          <w:sz w:val="24"/>
          <w:szCs w:val="24"/>
          <w:lang w:eastAsia="ru-RU"/>
        </w:rPr>
      </w:pPr>
      <w:r w:rsidRPr="00847C73">
        <w:rPr>
          <w:rFonts w:ascii="Times New Roman" w:eastAsia="Calibri" w:hAnsi="Times New Roman" w:cs="Times New Roman"/>
          <w:sz w:val="24"/>
          <w:szCs w:val="24"/>
          <w:lang w:eastAsia="ru-RU"/>
        </w:rPr>
        <w:t xml:space="preserve">. </w:t>
      </w:r>
      <w:r w:rsidRPr="00847C73">
        <w:rPr>
          <w:rFonts w:ascii="Times New Roman" w:eastAsia="Verdana" w:hAnsi="Times New Roman" w:cs="Times New Roman"/>
          <w:color w:val="2D2D2D"/>
          <w:sz w:val="24"/>
          <w:szCs w:val="24"/>
          <w:lang w:eastAsia="ru-RU"/>
        </w:rPr>
        <w:t>Предусмотрено к исполнению в отчётном периоде</w:t>
      </w:r>
      <w:r w:rsidRPr="00847C73">
        <w:rPr>
          <w:rFonts w:ascii="Times New Roman" w:eastAsia="Calibri" w:hAnsi="Times New Roman" w:cs="Times New Roman"/>
          <w:sz w:val="24"/>
          <w:szCs w:val="24"/>
          <w:lang w:eastAsia="ru-RU"/>
        </w:rPr>
        <w:t xml:space="preserve"> </w:t>
      </w:r>
      <w:r w:rsidR="00C159ED">
        <w:rPr>
          <w:rFonts w:ascii="Times New Roman" w:eastAsia="Calibri" w:hAnsi="Times New Roman" w:cs="Times New Roman"/>
          <w:sz w:val="24"/>
          <w:szCs w:val="24"/>
          <w:lang w:eastAsia="ru-RU"/>
        </w:rPr>
        <w:t>92</w:t>
      </w:r>
      <w:r w:rsidR="0094682A">
        <w:rPr>
          <w:rFonts w:ascii="Times New Roman" w:eastAsia="Calibri" w:hAnsi="Times New Roman" w:cs="Times New Roman"/>
          <w:sz w:val="24"/>
          <w:szCs w:val="24"/>
          <w:lang w:eastAsia="ru-RU"/>
        </w:rPr>
        <w:t xml:space="preserve"> </w:t>
      </w:r>
      <w:r w:rsidRPr="00847C73">
        <w:rPr>
          <w:rFonts w:ascii="Times New Roman" w:eastAsia="Calibri" w:hAnsi="Times New Roman" w:cs="Times New Roman"/>
          <w:sz w:val="24"/>
          <w:szCs w:val="24"/>
          <w:lang w:eastAsia="ru-RU"/>
        </w:rPr>
        <w:t>обращени</w:t>
      </w:r>
      <w:r w:rsidR="00C159ED">
        <w:rPr>
          <w:rFonts w:ascii="Times New Roman" w:eastAsia="Calibri" w:hAnsi="Times New Roman" w:cs="Times New Roman"/>
          <w:sz w:val="24"/>
          <w:szCs w:val="24"/>
          <w:lang w:eastAsia="ru-RU"/>
        </w:rPr>
        <w:t>я</w:t>
      </w:r>
      <w:r w:rsidRPr="00847C73">
        <w:rPr>
          <w:rFonts w:ascii="Times New Roman" w:eastAsia="Calibri" w:hAnsi="Times New Roman" w:cs="Times New Roman"/>
          <w:sz w:val="24"/>
          <w:szCs w:val="24"/>
          <w:lang w:eastAsia="ru-RU"/>
        </w:rPr>
        <w:t xml:space="preserve">, поступивших на </w:t>
      </w:r>
      <w:r w:rsidRPr="00847C73">
        <w:rPr>
          <w:rFonts w:ascii="Times New Roman" w:eastAsia="Calibri" w:hAnsi="Times New Roman" w:cs="Times New Roman"/>
          <w:b/>
          <w:sz w:val="24"/>
          <w:szCs w:val="24"/>
          <w:lang w:eastAsia="ru-RU"/>
        </w:rPr>
        <w:t xml:space="preserve">портал </w:t>
      </w:r>
      <w:proofErr w:type="gramStart"/>
      <w:r w:rsidRPr="00847C73">
        <w:rPr>
          <w:rFonts w:ascii="Times New Roman" w:eastAsia="Calibri" w:hAnsi="Times New Roman" w:cs="Times New Roman"/>
          <w:b/>
          <w:sz w:val="24"/>
          <w:szCs w:val="24"/>
          <w:lang w:eastAsia="ru-RU"/>
        </w:rPr>
        <w:t>« Наш</w:t>
      </w:r>
      <w:proofErr w:type="gramEnd"/>
      <w:r w:rsidRPr="00847C73">
        <w:rPr>
          <w:rFonts w:ascii="Times New Roman" w:eastAsia="Calibri" w:hAnsi="Times New Roman" w:cs="Times New Roman"/>
          <w:b/>
          <w:sz w:val="24"/>
          <w:szCs w:val="24"/>
          <w:lang w:eastAsia="ru-RU"/>
        </w:rPr>
        <w:t xml:space="preserve"> Санкт-Петербург».</w:t>
      </w:r>
      <w:r w:rsidRPr="00847C73">
        <w:rPr>
          <w:rFonts w:ascii="Times New Roman" w:eastAsia="Calibri" w:hAnsi="Times New Roman" w:cs="Times New Roman"/>
          <w:sz w:val="24"/>
          <w:szCs w:val="24"/>
          <w:lang w:eastAsia="ru-RU"/>
        </w:rPr>
        <w:t xml:space="preserve"> К</w:t>
      </w:r>
      <w:r w:rsidRPr="00847C73">
        <w:rPr>
          <w:rFonts w:ascii="Times New Roman" w:eastAsia="Verdana" w:hAnsi="Times New Roman" w:cs="Times New Roman"/>
          <w:color w:val="2D2D2D"/>
          <w:sz w:val="24"/>
          <w:szCs w:val="24"/>
          <w:lang w:eastAsia="ru-RU"/>
        </w:rPr>
        <w:t xml:space="preserve">оэффициент исполнительской дисциплины = 100%, </w:t>
      </w:r>
    </w:p>
    <w:tbl>
      <w:tblPr>
        <w:tblW w:w="0" w:type="auto"/>
        <w:tblInd w:w="98" w:type="dxa"/>
        <w:tblCellMar>
          <w:left w:w="10" w:type="dxa"/>
          <w:right w:w="10" w:type="dxa"/>
        </w:tblCellMar>
        <w:tblLook w:val="0000" w:firstRow="0" w:lastRow="0" w:firstColumn="0" w:lastColumn="0" w:noHBand="0" w:noVBand="0"/>
      </w:tblPr>
      <w:tblGrid>
        <w:gridCol w:w="7620"/>
        <w:gridCol w:w="1500"/>
      </w:tblGrid>
      <w:tr w:rsidR="00847C73" w:rsidRPr="00847C73" w14:paraId="6D0C5DC4"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FE27"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lastRenderedPageBreak/>
              <w:t>Описание Обращения</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DF3BC" w14:textId="77777777" w:rsidR="00847C73" w:rsidRPr="00847C73" w:rsidRDefault="00847C73" w:rsidP="00847C73">
            <w:pPr>
              <w:spacing w:after="0" w:line="240" w:lineRule="auto"/>
              <w:rPr>
                <w:rFonts w:ascii="Times New Roman" w:eastAsia="Calibri" w:hAnsi="Times New Roman" w:cs="Times New Roman"/>
                <w:lang w:eastAsia="ru-RU"/>
              </w:rPr>
            </w:pPr>
            <w:r w:rsidRPr="00847C73">
              <w:rPr>
                <w:rFonts w:ascii="Times New Roman" w:eastAsia="Calibri" w:hAnsi="Times New Roman" w:cs="Times New Roman"/>
                <w:lang w:eastAsia="ru-RU"/>
              </w:rPr>
              <w:t>Кол-во обращений</w:t>
            </w:r>
          </w:p>
        </w:tc>
      </w:tr>
      <w:tr w:rsidR="00847C73" w:rsidRPr="00847C73" w14:paraId="15FDEC10"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62CC1"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Мусор на внутридворовой территории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FA806" w14:textId="77777777" w:rsidR="00847C73" w:rsidRPr="00847C73" w:rsidRDefault="00847C73" w:rsidP="00C159ED">
            <w:pPr>
              <w:spacing w:after="0" w:line="259"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r w:rsidR="00C159ED">
              <w:rPr>
                <w:rFonts w:ascii="Times New Roman" w:eastAsia="Calibri" w:hAnsi="Times New Roman" w:cs="Times New Roman"/>
                <w:lang w:eastAsia="ru-RU"/>
              </w:rPr>
              <w:t>7</w:t>
            </w:r>
          </w:p>
        </w:tc>
      </w:tr>
      <w:tr w:rsidR="00847C73" w:rsidRPr="00847C73" w14:paraId="1F53465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5DB48" w14:textId="77777777" w:rsidR="00847C73" w:rsidRPr="00847C73" w:rsidRDefault="00847C73" w:rsidP="00847C73">
            <w:pPr>
              <w:spacing w:after="0" w:line="240" w:lineRule="auto"/>
              <w:rPr>
                <w:rFonts w:ascii="Times New Roman" w:eastAsia="Calibri" w:hAnsi="Times New Roman" w:cs="Times New Roman"/>
                <w:sz w:val="20"/>
                <w:szCs w:val="20"/>
                <w:lang w:eastAsia="ru-RU"/>
              </w:rPr>
            </w:pPr>
            <w:r w:rsidRPr="00847C73">
              <w:rPr>
                <w:rFonts w:ascii="Times New Roman" w:eastAsia="Verdana" w:hAnsi="Times New Roman" w:cs="Times New Roman"/>
                <w:color w:val="2D2D2D"/>
                <w:sz w:val="20"/>
                <w:szCs w:val="20"/>
                <w:lang w:eastAsia="ru-RU"/>
              </w:rPr>
              <w:t>Мусор на газонах (крупногабаритные объекты)</w:t>
            </w:r>
          </w:p>
          <w:p w14:paraId="7DCA3F35"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7BD3A"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2</w:t>
            </w:r>
          </w:p>
        </w:tc>
      </w:tr>
      <w:tr w:rsidR="00847C73" w:rsidRPr="00847C73" w14:paraId="53BB590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E6380"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Неудовлетворительное содержание газонов (отсутствие травяного покрова)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C14EC"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3</w:t>
            </w:r>
          </w:p>
        </w:tc>
      </w:tr>
      <w:tr w:rsidR="00847C73" w:rsidRPr="00847C73" w14:paraId="3F1E0FFF"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363B1"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Неудовлетворительное содержание газонов (нескошенная/неубранная трава)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6AB1"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7</w:t>
            </w:r>
          </w:p>
        </w:tc>
      </w:tr>
      <w:tr w:rsidR="00847C73" w:rsidRPr="00847C73" w14:paraId="4ED0EC70"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881AD"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 xml:space="preserve">Неубранный снег, требуется обработка территории </w:t>
            </w:r>
            <w:proofErr w:type="spellStart"/>
            <w:r w:rsidRPr="00847C73">
              <w:rPr>
                <w:rFonts w:ascii="Times New Roman" w:eastAsia="Verdana" w:hAnsi="Times New Roman" w:cs="Times New Roman"/>
                <w:color w:val="2D2D2D"/>
                <w:sz w:val="20"/>
                <w:szCs w:val="20"/>
                <w:lang w:eastAsia="ru-RU"/>
              </w:rPr>
              <w:t>пескосоляной</w:t>
            </w:r>
            <w:proofErr w:type="spellEnd"/>
            <w:r w:rsidRPr="00847C73">
              <w:rPr>
                <w:rFonts w:ascii="Times New Roman" w:eastAsia="Verdana" w:hAnsi="Times New Roman" w:cs="Times New Roman"/>
                <w:color w:val="2D2D2D"/>
                <w:sz w:val="20"/>
                <w:szCs w:val="20"/>
                <w:lang w:eastAsia="ru-RU"/>
              </w:rPr>
              <w:t xml:space="preserve"> смесью</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3B41A" w14:textId="77777777" w:rsidR="00847C73" w:rsidRPr="00847C73" w:rsidRDefault="0094682A" w:rsidP="00847C7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w:t>
            </w:r>
          </w:p>
        </w:tc>
      </w:tr>
      <w:tr w:rsidR="00847C73" w:rsidRPr="00847C73" w14:paraId="58816BD0"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B57DC"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Мусор на детской площадке</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669B1"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6</w:t>
            </w:r>
          </w:p>
        </w:tc>
      </w:tr>
      <w:tr w:rsidR="00847C73" w:rsidRPr="00847C73" w14:paraId="52A310D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1F376"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Предложения по установке малых архитектурных форм, уличной мебели и хозяйственно-бытового оборудования, необходимого для благоустройства территории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5DB18"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2</w:t>
            </w:r>
          </w:p>
        </w:tc>
      </w:tr>
      <w:tr w:rsidR="00847C73" w:rsidRPr="00847C73" w14:paraId="6A40E4C1" w14:textId="77777777" w:rsidTr="006B7F6E">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A023D"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Ненадлежащее состояние ограждений газонов</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4BAD8"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06D67EB9"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4BCB8"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Повреждение участков цоколя, отмостки, приямков, вентиляционных продухов</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8BB4F"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772EF08E"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83B72"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Ненадлежащее состояние малых архитектурных форм, уличной мебели и хозяйственно-бытового оборудования, необходимого для благоустройства территории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D861E"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00EC0905"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F789C"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 обустроена территория детской площадки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2F0C8"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6</w:t>
            </w:r>
          </w:p>
        </w:tc>
      </w:tr>
      <w:tr w:rsidR="00847C73" w:rsidRPr="00847C73" w14:paraId="5E58CD42" w14:textId="77777777" w:rsidTr="006B7F6E">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2A88E"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 обустроена территория спортивной площадки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94214"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54D70350" w14:textId="77777777" w:rsidTr="006B7F6E">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74E92"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Конструкция, препятствующая парковке</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DF899"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5</w:t>
            </w:r>
          </w:p>
        </w:tc>
      </w:tr>
      <w:tr w:rsidR="00847C73" w:rsidRPr="00847C73" w14:paraId="1B46DD9E"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6E61C"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Мусор на проезжей части, тротуаре, благоустроенных спусках к воде, подземных и надземных пешеходных переходах</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6960A"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0A12A99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0C407"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Неочищенные урны</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CFAEB"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2</w:t>
            </w:r>
          </w:p>
        </w:tc>
      </w:tr>
      <w:tr w:rsidR="00847C73" w:rsidRPr="00847C73" w14:paraId="317A7AEA"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0E3BF"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Неудовлетворительное состояние колодца, люка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DC8BC"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6</w:t>
            </w:r>
          </w:p>
        </w:tc>
      </w:tr>
      <w:tr w:rsidR="00847C73" w:rsidRPr="00847C73" w14:paraId="754021E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A32CD"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Неудовлетворительное состояние асфальтового покрытия на придомовой и дворовой территориях</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BAEDC"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5</w:t>
            </w:r>
          </w:p>
        </w:tc>
      </w:tr>
      <w:tr w:rsidR="00847C73" w:rsidRPr="00847C73" w14:paraId="2F42F10C"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1C861"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Скопление мусора в садах, парках, скверах</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0F7E6" w14:textId="77777777" w:rsidR="00847C73" w:rsidRPr="00847C73" w:rsidRDefault="00847C73" w:rsidP="00847C73">
            <w:pPr>
              <w:spacing w:after="0" w:line="240" w:lineRule="auto"/>
              <w:rPr>
                <w:rFonts w:ascii="Times New Roman" w:eastAsia="Calibri" w:hAnsi="Times New Roman" w:cs="Times New Roman"/>
                <w:lang w:eastAsia="ru-RU"/>
              </w:rPr>
            </w:pPr>
          </w:p>
        </w:tc>
      </w:tr>
      <w:tr w:rsidR="00847C73" w:rsidRPr="00847C73" w14:paraId="639C0790"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61F91"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Ненадлежащее (неисправное) состояние уличной мебели и оборудования в садах, парках, скверах (в том числе на территориях детских и спортивных площадок, зон отдыха)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5DF14"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219ABFC6"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AFE8B"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Несанкционированные надписи / объявления на сооружениях (в т.ч. заборах, гаражах, торговых павильонах)</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41588" w14:textId="77777777" w:rsidR="00847C73" w:rsidRPr="00847C73" w:rsidRDefault="00847C73" w:rsidP="00847C73">
            <w:pPr>
              <w:spacing w:after="0" w:line="240" w:lineRule="auto"/>
              <w:rPr>
                <w:rFonts w:ascii="Times New Roman" w:eastAsia="Calibri" w:hAnsi="Times New Roman" w:cs="Times New Roman"/>
                <w:lang w:eastAsia="ru-RU"/>
              </w:rPr>
            </w:pPr>
          </w:p>
        </w:tc>
      </w:tr>
      <w:tr w:rsidR="00847C73" w:rsidRPr="00847C73" w14:paraId="10EAB3C8"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BDFB4"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Механическое повреждение отдельно стоящей рекламной или информационной конструкции либо наличие посторонних надписей/объявлений на них</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1CEE2"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r w:rsidR="00847C73" w:rsidRPr="00847C73" w14:paraId="34D37FB5"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FC6EA"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Незаконное размещение информационной и (или) рекламной конструкции на территории Санкт-Петербурга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ECEE1"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5</w:t>
            </w:r>
          </w:p>
        </w:tc>
      </w:tr>
      <w:tr w:rsidR="00847C73" w:rsidRPr="00847C73" w14:paraId="6A792CAC"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700DF"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Лужи на твердом покрытии</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934BE"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2</w:t>
            </w:r>
          </w:p>
        </w:tc>
      </w:tr>
      <w:tr w:rsidR="00847C73" w:rsidRPr="00847C73" w14:paraId="71045A56" w14:textId="77777777" w:rsidTr="006B7F6E">
        <w:trPr>
          <w:trHeight w:val="1"/>
        </w:trPr>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39F8C" w14:textId="77777777" w:rsidR="00847C73" w:rsidRPr="00847C73" w:rsidRDefault="00847C73" w:rsidP="00847C73">
            <w:pPr>
              <w:spacing w:after="0" w:line="240" w:lineRule="auto"/>
              <w:rPr>
                <w:rFonts w:ascii="Times New Roman" w:eastAsiaTheme="minorEastAsia" w:hAnsi="Times New Roman" w:cs="Times New Roman"/>
                <w:sz w:val="20"/>
                <w:szCs w:val="20"/>
                <w:lang w:eastAsia="ru-RU"/>
              </w:rPr>
            </w:pPr>
            <w:r w:rsidRPr="00847C73">
              <w:rPr>
                <w:rFonts w:ascii="Times New Roman" w:eastAsia="Verdana" w:hAnsi="Times New Roman" w:cs="Times New Roman"/>
                <w:color w:val="2D2D2D"/>
                <w:sz w:val="20"/>
                <w:szCs w:val="20"/>
                <w:lang w:eastAsia="ru-RU"/>
              </w:rPr>
              <w:t>Нарушение благоустройства после производства земляных работ</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C8844" w14:textId="77777777" w:rsidR="00847C73" w:rsidRPr="00847C73" w:rsidRDefault="00847C73" w:rsidP="00847C73">
            <w:pPr>
              <w:spacing w:after="0" w:line="240" w:lineRule="auto"/>
              <w:jc w:val="center"/>
              <w:rPr>
                <w:rFonts w:ascii="Times New Roman" w:eastAsia="Calibri" w:hAnsi="Times New Roman" w:cs="Times New Roman"/>
                <w:lang w:eastAsia="ru-RU"/>
              </w:rPr>
            </w:pPr>
            <w:r w:rsidRPr="00847C73">
              <w:rPr>
                <w:rFonts w:ascii="Times New Roman" w:eastAsia="Calibri" w:hAnsi="Times New Roman" w:cs="Times New Roman"/>
                <w:lang w:eastAsia="ru-RU"/>
              </w:rPr>
              <w:t>1</w:t>
            </w:r>
          </w:p>
        </w:tc>
      </w:tr>
    </w:tbl>
    <w:p w14:paraId="4F0A99F1" w14:textId="77777777" w:rsidR="00847C73" w:rsidRPr="00847C73" w:rsidRDefault="00847C73" w:rsidP="00847C73">
      <w:pPr>
        <w:spacing w:after="160" w:line="259" w:lineRule="auto"/>
        <w:rPr>
          <w:rFonts w:ascii="Times New Roman" w:eastAsia="Calibri" w:hAnsi="Times New Roman" w:cs="Times New Roman"/>
          <w:lang w:eastAsia="ru-RU"/>
        </w:rPr>
      </w:pPr>
    </w:p>
    <w:p w14:paraId="64C08066" w14:textId="77777777" w:rsidR="00847C73" w:rsidRPr="00847C73" w:rsidRDefault="00847C73" w:rsidP="00DA2134">
      <w:pPr>
        <w:rPr>
          <w:rFonts w:ascii="Times New Roman" w:hAnsi="Times New Roman" w:cs="Times New Roman"/>
        </w:rPr>
      </w:pPr>
    </w:p>
    <w:sectPr w:rsidR="00847C73" w:rsidRPr="0084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5C"/>
    <w:rsid w:val="002B7443"/>
    <w:rsid w:val="00374E5C"/>
    <w:rsid w:val="00847C73"/>
    <w:rsid w:val="00906288"/>
    <w:rsid w:val="0094682A"/>
    <w:rsid w:val="00B502BB"/>
    <w:rsid w:val="00C159ED"/>
    <w:rsid w:val="00C6614F"/>
    <w:rsid w:val="00DA2134"/>
    <w:rsid w:val="00EC5789"/>
    <w:rsid w:val="00F62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6CE2"/>
  <w15:docId w15:val="{FDB22D34-4951-492A-B89E-9F4EC9E1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Никита Юхнев</cp:lastModifiedBy>
  <cp:revision>4</cp:revision>
  <dcterms:created xsi:type="dcterms:W3CDTF">2023-01-11T13:51:00Z</dcterms:created>
  <dcterms:modified xsi:type="dcterms:W3CDTF">2023-01-20T08:52:00Z</dcterms:modified>
</cp:coreProperties>
</file>